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4773d8a9f8a34326"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28967</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OPĆINA MAJUR</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23</w:t>
            </w:r>
          </w:p>
        </w:tc>
      </w:tr>
    </w:tbl>
    <w:p>
      <w:r>
        <w:br/>
      </w:r>
    </w:p>
    <w:p>
      <w:pPr>
        <w:jc w:val="center"/>
        <w:pStyle w:val="Normal"/>
        <w:spacing w:line="240" w:lineRule="auto"/>
      </w:pPr>
      <w:r>
        <w:rPr>
          <w:b/>
          <w:sz w:val="28"/>
          <w:rFonts w:ascii="Times New Roman" w:hAnsi="Times New Roman"/>
        </w:rPr>
        <w:t xml:space="preserve">BILJEŠKE UZ FINANCIJSKE IZVJEŠTAJE</w:t>
      </w:r>
    </w:p>
    <w:p>
      <w:pPr>
        <w:jc w:val="center"/>
        <w:pStyle w:val="Normal"/>
        <w:spacing w:line="240" w:lineRule="auto"/>
      </w:pPr>
      <w:r>
        <w:rPr>
          <w:b/>
          <w:sz w:val="28"/>
          <w:rFonts w:ascii="Times New Roman" w:hAnsi="Times New Roman"/>
        </w:rPr>
        <w:t xml:space="preserve">ZA RAZDOBLJE</w:t>
      </w:r>
    </w:p>
    <w:p>
      <w:pPr>
        <w:jc w:val="center"/>
        <w:pStyle w:val="Normal"/>
        <w:spacing w:line="240" w:lineRule="auto"/>
      </w:pPr>
      <w:r>
        <w:rPr>
          <w:b/>
          <w:sz w:val="28"/>
          <w:rFonts w:ascii="Times New Roman" w:hAnsi="Times New Roman"/>
        </w:rPr>
        <w:t xml:space="preserve">I - XII 2025.</w:t>
      </w:r>
    </w:p>
    <w:p/>
    <w:p>
      <w:pPr>
        <w:jc w:val="center"/>
        <w:pStyle w:val="Normal"/>
        <w:spacing w:line="240" w:lineRule="auto"/>
        <w:keepNext/>
      </w:pPr>
      <w:r>
        <w:rPr>
          <w:b/>
          <w:sz w:val="28"/>
          <w:rFonts w:ascii="Times New Roman" w:hAnsi="Times New Roman"/>
        </w:rPr>
        <w:t xml:space="preserve">Izvještaj o prihodima i rashodima, primicima i izdacima</w:t>
      </w:r>
    </w:p>
    <w:p>
      <w:pPr>
        <w:jc w:val="center"/>
        <w:pStyle w:val="Normal"/>
        <w:spacing w:line="240" w:lineRule="auto"/>
        <w:keepNext/>
      </w:pPr>
      <w:r>
        <w:rPr>
          <w:sz w:val="28"/>
          <w:rFonts w:ascii="Times New Roman" w:hAnsi="Times New Roman"/>
        </w:rPr>
        <w:t xml:space="preserve">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2.174.769,37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1.001.470,24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583.428,17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899.920,76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154,2</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POSLOVANJA (šifre 6-Z005)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1.591.341,20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101.549,48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6,4</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399.912,04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969.499,81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242,4</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399.912,04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969.499,81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242,4</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65.000,00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94.068,59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26.544,60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28,2</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PRIMITAKA OD FINANCIJSKE IMOVINE I ZADUŽIVANJA (šifre 5-8)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29.068,59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26.544,60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91,3</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I PRIMITAKA (šifre Y345-X678)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894.494,93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bl>
    <w:p>
      <w:pPr>
        <w:spacing w:before="0" w:after="0"/>
      </w:pPr>
    </w:p>
    <w:p>
      <w:r>
        <w:t xml:space="preserve">Prema podacima iskazanim u obrascu PR-RAS za izvještajno razdoblje, ukupni prihodi poslovanja (šifra 6) ostvareni su u iznosu od 1.001.470,24 EUR, dok ukupni rashodi poslovanja (šifra 3) iznose 899.920,76 EUR, slijedom čega je ostvaren višak prihoda poslovanja (šifra X001) u iznosu od 101.549,48 EUR.</w:t>
      </w:r>
    </w:p>
    <w:p>
      <w:r>
        <w:t xml:space="preserve">Prihodi od prodaje nefinancijske imovine (šifra 7) nisu ostvareni, dok rashodi za nabavu nefinancijske imovine (šifra 4) iznose 969.499,81 EUR, što je rezultiralo manjkom prihoda od nefinancijske imovine (šifra Y002) u navedenom iznosu.</w:t>
      </w:r>
    </w:p>
    <w:p>
      <w:r>
        <w:t xml:space="preserve">Primici od financijske imovine i zaduživanja (šifra 8) nisu ostvareni, dok izdaci za financijsku imovinu i otplate zajmova (šifra 5) iznose 26.544,60 EUR, čime je iskazan manjak od financijske imovine i zaduživanja (šifra Y003) u istom iznosu.</w:t>
      </w:r>
    </w:p>
    <w:p>
      <w:r>
        <w:t xml:space="preserve">Sukladno navedenom, u izvještajnom razdoblju iskazan je manjak prihoda i primitaka (šifra Y005) u iznosu od 894.494,93 EUR. Navedeni manjak ne utječe na kontinuitet poslovanja, budući da je njegovo pokriće osigurano korištenjem prenesenih viškova prihoda iz prethodnih razdoblja, odnosno iz 2025. godine, te je tijekom izvještajnog razdoblja održana uredna likvidnost i osigurano nesmetano obavljanje djelatnosti u skladu s propisima proračunskog računovodstva i financijskog izvještavanja.</w:t>
      </w:r>
    </w:p>
    <w:p>
      <w:r>
        <w:t xml:space="preserve"> </w:t>
      </w:r>
    </w:p>
    <w:p>
      <w:r>
        <w:br/>
      </w:r>
    </w:p>
    <w:p>
      <w:pPr>
        <w:jc w:val="center"/>
        <w:pStyle w:val="Normal"/>
        <w:spacing w:line="240" w:lineRule="auto"/>
        <w:keepNext/>
      </w:pPr>
      <w:r>
        <w:rPr>
          <w:sz w:val="28"/>
          <w:rFonts w:ascii="Times New Roman" w:hAnsi="Times New Roman"/>
        </w:rPr>
        <w:t xml:space="preserve">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2.174.769,37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1.001.470,24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46,0</w:t>
            </w:r>
          </w:p>
        </w:tc>
      </w:tr>
    </w:tbl>
    <w:p>
      <w:pPr>
        <w:spacing w:before="0" w:after="0"/>
      </w:pPr>
    </w:p>
    <w:p>
      <w:r>
        <w:t xml:space="preserve">Iz priloženog je vidljivo da su ostvareni niži prihodi poslovanja u odnosu na prethodno razdoblje, a razlog tome jest da je u prethodnom razdoblju ostvarena pomoć države za saniranje objekata oštećenih u potresu u iznosu od 1.000.000,00 eura.</w:t>
      </w:r>
    </w:p>
    <w:p/>
    <w:p>
      <w:pPr>
        <w:jc w:val="center"/>
        <w:pStyle w:val="Normal"/>
        <w:spacing w:line="240" w:lineRule="auto"/>
        <w:keepNext/>
      </w:pPr>
      <w:r>
        <w:rPr>
          <w:sz w:val="28"/>
          <w:rFonts w:ascii="Times New Roman" w:hAnsi="Times New Roman"/>
        </w:rPr>
        <w:t xml:space="preserve">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poreza (šifre 611+612+613+614+615+616)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180.174,24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184.548,63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102,4</w:t>
            </w:r>
          </w:p>
        </w:tc>
      </w:tr>
    </w:tbl>
    <w:p>
      <w:pPr>
        <w:spacing w:before="0" w:after="0"/>
      </w:pPr>
    </w:p>
    <w:p>
      <w:r>
        <w:t xml:space="preserve">Vidljiv je blagi porast prihoda od poreza, a najvećim dijelom prihoda od poreza na dohodak. Posljedica tome jest sistemsko povećanje plaća na razini Republike Hrvatske.</w:t>
      </w:r>
    </w:p>
    <w:p/>
    <w:p>
      <w:pPr>
        <w:jc w:val="center"/>
        <w:pStyle w:val="Normal"/>
        <w:spacing w:line="240" w:lineRule="auto"/>
        <w:keepNext/>
      </w:pPr>
      <w:r>
        <w:rPr>
          <w:sz w:val="28"/>
          <w:rFonts w:ascii="Times New Roman" w:hAnsi="Times New Roman"/>
        </w:rPr>
        <w:t xml:space="preserve">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Porezi na imovinu (šifre 6131 do 6135)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33.532,40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20.817,54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62,1</w:t>
            </w:r>
          </w:p>
        </w:tc>
      </w:tr>
    </w:tbl>
    <w:p>
      <w:pPr>
        <w:spacing w:before="0" w:after="0"/>
      </w:pPr>
    </w:p>
    <w:p>
      <w:r>
        <w:t xml:space="preserve">Vidljivo smanjenje je posljedica manje naplate poreza na kuće odmor, odnosno, poreza na nekretnine kao i ostalih poreza na imovinu (porez na promet nekretnina itd.) u izvještajnom razdoblju.</w:t>
      </w:r>
    </w:p>
    <w:p/>
    <w:p>
      <w:pPr>
        <w:jc w:val="center"/>
        <w:pStyle w:val="Normal"/>
        <w:spacing w:line="240" w:lineRule="auto"/>
        <w:keepNext/>
      </w:pPr>
      <w:r>
        <w:rPr>
          <w:sz w:val="28"/>
          <w:rFonts w:ascii="Times New Roman" w:hAnsi="Times New Roman"/>
        </w:rPr>
        <w:t xml:space="preserve">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iz inozemstva i od subjekata unutar općeg proračuna (šifre 631+632+633+634+635+636+637+638+639)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1.939.588,20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753.427,94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38,8</w:t>
            </w:r>
          </w:p>
        </w:tc>
      </w:tr>
    </w:tbl>
    <w:p>
      <w:pPr>
        <w:spacing w:before="0" w:after="0"/>
      </w:pPr>
    </w:p>
    <w:p>
      <w:r>
        <w:t xml:space="preserve">Razlika od 61,20 % se odnosi na Odluku vlade o pomoći općinama i gradovima za sanaciju objekata koji su stradali u potresu.</w:t>
      </w:r>
    </w:p>
    <w:p/>
    <w:p>
      <w:pPr>
        <w:jc w:val="center"/>
        <w:pStyle w:val="Normal"/>
        <w:spacing w:line="240" w:lineRule="auto"/>
        <w:keepNext/>
      </w:pPr>
      <w:r>
        <w:rPr>
          <w:sz w:val="28"/>
          <w:rFonts w:ascii="Times New Roman" w:hAnsi="Times New Roman"/>
        </w:rPr>
        <w:t xml:space="preserve">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temeljem prijenosa EU sredstava (šifre 6381+6382)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179.285,20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248.997,87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138,9</w:t>
            </w:r>
          </w:p>
        </w:tc>
      </w:tr>
    </w:tbl>
    <w:p>
      <w:pPr>
        <w:spacing w:before="0" w:after="0"/>
      </w:pPr>
    </w:p>
    <w:p>
      <w:r>
        <w:t xml:space="preserve">Pozitivna razlika od 38,90 % je posljedica tzv. odobrenih ZNS-ova kroz projekte "Zaželi" i "Green-Tex" koji su u ovome razdoblju ostvarivali puno više planiranih aktivnosti.</w:t>
      </w:r>
    </w:p>
    <w:p/>
    <w:p>
      <w:pPr>
        <w:jc w:val="center"/>
        <w:pStyle w:val="Normal"/>
        <w:spacing w:line="240" w:lineRule="auto"/>
        <w:keepNext/>
      </w:pPr>
      <w:r>
        <w:rPr>
          <w:sz w:val="28"/>
          <w:rFonts w:ascii="Times New Roman" w:hAnsi="Times New Roman"/>
        </w:rPr>
        <w:t xml:space="preserve">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upravnih i administrativnih pristojbi, pristojbi po posebnim propisima i naknada (šifre 651+652+653+654)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41.953,39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40.048,98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95,5</w:t>
            </w:r>
          </w:p>
        </w:tc>
      </w:tr>
    </w:tbl>
    <w:p>
      <w:pPr>
        <w:spacing w:before="0" w:after="0"/>
      </w:pPr>
    </w:p>
    <w:p>
      <w:r>
        <w:t xml:space="preserve">Prihodi od upravnih i administrativnih pristojbi, pristojbi po posebnim propisima i naknada su nešto manji nego u prethodnom razdoblju, a razlog tome jest slabija dinamika naplate komunalne naknade, iznajmljivanja domova i sličnog.</w:t>
      </w:r>
    </w:p>
    <w:p/>
    <w:p>
      <w:pPr>
        <w:jc w:val="center"/>
        <w:pStyle w:val="Normal"/>
        <w:spacing w:line="240" w:lineRule="auto"/>
        <w:keepNext/>
      </w:pPr>
      <w:r>
        <w:rPr>
          <w:sz w:val="28"/>
          <w:rFonts w:ascii="Times New Roman" w:hAnsi="Times New Roman"/>
        </w:rPr>
        <w:t xml:space="preserve">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683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prihodi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683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4.007,84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16.292,45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406,5</w:t>
            </w:r>
          </w:p>
        </w:tc>
      </w:tr>
    </w:tbl>
    <w:p>
      <w:pPr>
        <w:spacing w:before="0" w:after="0"/>
      </w:pPr>
    </w:p>
    <w:p>
      <w:r>
        <w:t xml:space="preserve">Porast od 306,50 % se pripisuje ostalim prihodima kao što je RCTZG - povrat po projektu - za Dacia Lodgy, povrata pretplate - HEP, isplata likvidacijske mase i ostalih.</w:t>
      </w:r>
    </w:p>
    <w:p/>
    <w:p>
      <w:pPr>
        <w:jc w:val="center"/>
        <w:pStyle w:val="Normal"/>
        <w:spacing w:line="240" w:lineRule="auto"/>
        <w:keepNext/>
      </w:pPr>
      <w:r>
        <w:rPr>
          <w:sz w:val="28"/>
          <w:rFonts w:ascii="Times New Roman" w:hAnsi="Times New Roman"/>
        </w:rPr>
        <w:t xml:space="preserve">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583.428,17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899.920,76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154,2</w:t>
            </w:r>
          </w:p>
        </w:tc>
      </w:tr>
    </w:tbl>
    <w:p>
      <w:pPr>
        <w:spacing w:before="0" w:after="0"/>
      </w:pPr>
    </w:p>
    <w:p>
      <w:r>
        <w:t xml:space="preserve">Rashodi poslovanja veći su za 54,20 % nego u prošlom razdoblju. Na to jesu utjecali povećani rashodi za zaposlene (povećanje osnovica, koeficijenata i minimalne bruto plaće za zaposlene), kao i materijalni rashodi. </w:t>
      </w:r>
    </w:p>
    <w:p/>
    <w:p>
      <w:pPr>
        <w:jc w:val="center"/>
        <w:pStyle w:val="Normal"/>
        <w:spacing w:line="240" w:lineRule="auto"/>
        <w:keepNext/>
      </w:pPr>
      <w:r>
        <w:rPr>
          <w:sz w:val="28"/>
          <w:rFonts w:ascii="Times New Roman" w:hAnsi="Times New Roman"/>
        </w:rPr>
        <w:t xml:space="preserve">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Doprinosi na plaće (šifre 3131 do 3133)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37.028,91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61.580,51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166,3</w:t>
            </w:r>
          </w:p>
        </w:tc>
      </w:tr>
    </w:tbl>
    <w:p>
      <w:pPr>
        <w:spacing w:before="0" w:after="0"/>
      </w:pPr>
    </w:p>
    <w:p>
      <w:r>
        <w:t xml:space="preserve">Uz rast bruto plaća rasli su i doprinosi na plaće, što posljedična veza između te dvije pojave. Doprinosi na plaće su rasli za 66,30 %.</w:t>
      </w:r>
    </w:p>
    <w:p/>
    <w:p>
      <w:pPr>
        <w:jc w:val="center"/>
        <w:pStyle w:val="Normal"/>
        <w:spacing w:line="240" w:lineRule="auto"/>
        <w:keepNext/>
      </w:pPr>
      <w:r>
        <w:rPr>
          <w:sz w:val="28"/>
          <w:rFonts w:ascii="Times New Roman" w:hAnsi="Times New Roman"/>
        </w:rPr>
        <w:t xml:space="preserve">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materijal i energiju (šifre 3221 do 3227)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34.692,51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68.739,50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198,1</w:t>
            </w:r>
          </w:p>
        </w:tc>
      </w:tr>
    </w:tbl>
    <w:p>
      <w:pPr>
        <w:spacing w:before="0" w:after="0"/>
      </w:pPr>
    </w:p>
    <w:p>
      <w:r>
        <w:t xml:space="preserve">Porast od 98,10 % posljedica je većih ulaznih rashoda vezanih za materijal i energiju za održavanje redovnog poslovanja kao i nabavke materijala za projekt "Green-Tex".</w:t>
      </w:r>
    </w:p>
    <w:p/>
    <w:p>
      <w:pPr>
        <w:jc w:val="center"/>
        <w:pStyle w:val="Normal"/>
        <w:spacing w:line="240" w:lineRule="auto"/>
        <w:keepNext/>
      </w:pPr>
      <w:r>
        <w:rPr>
          <w:sz w:val="28"/>
          <w:rFonts w:ascii="Times New Roman" w:hAnsi="Times New Roman"/>
        </w:rPr>
        <w:t xml:space="preserve">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Sitni inventar i autogume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740,93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1.256,22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169,5</w:t>
            </w:r>
          </w:p>
        </w:tc>
      </w:tr>
    </w:tbl>
    <w:p>
      <w:pPr>
        <w:spacing w:before="0" w:after="0"/>
      </w:pPr>
    </w:p>
    <w:p>
      <w:r>
        <w:t xml:space="preserve">Povećanje sitnog inventara i auto guma jest posljedica veće potrebe za sitnim inventarom kao i nabavka guma da službeno vozilo "Dacia Lodgy".</w:t>
      </w:r>
    </w:p>
    <w:p/>
    <w:p>
      <w:pPr>
        <w:jc w:val="center"/>
        <w:pStyle w:val="Normal"/>
        <w:spacing w:line="240" w:lineRule="auto"/>
        <w:keepNext/>
      </w:pPr>
      <w:r>
        <w:rPr>
          <w:sz w:val="28"/>
          <w:rFonts w:ascii="Times New Roman" w:hAnsi="Times New Roman"/>
        </w:rPr>
        <w:t xml:space="preserve">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usluge (šifre 3231 do 3239)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72.463,06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101.956,90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140,7</w:t>
            </w:r>
          </w:p>
        </w:tc>
      </w:tr>
    </w:tbl>
    <w:p>
      <w:pPr>
        <w:spacing w:before="0" w:after="0"/>
      </w:pPr>
    </w:p>
    <w:p>
      <w:r>
        <w:t xml:space="preserve">Rashode za usluge rasle su za 40,70 %, a najvećim dijelom se odnose na zdravstvene i veterinarske usluge, te intelektualne i osobne usluge. Točnije, na odvoz povećanog broja pasa lutalica, provođenje sistematskih pregleda zaposlenika, intelektualnih usluga vezanih uz provođenje postupaka nabave, javnog bilježnika te održavanja tematskih radionica kroz projekt "Green-Tex".</w:t>
      </w:r>
    </w:p>
    <w:p/>
    <w:p>
      <w:pPr>
        <w:jc w:val="center"/>
        <w:pStyle w:val="Normal"/>
        <w:spacing w:line="240" w:lineRule="auto"/>
        <w:keepNext/>
      </w:pPr>
      <w:r>
        <w:rPr>
          <w:sz w:val="28"/>
          <w:rFonts w:ascii="Times New Roman" w:hAnsi="Times New Roman"/>
        </w:rPr>
        <w:t xml:space="preserve">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nespomenuti rashodi poslovanja (šifre 3291 do 3299)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48.605,46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87.234,19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179,5</w:t>
            </w:r>
          </w:p>
        </w:tc>
      </w:tr>
    </w:tbl>
    <w:p>
      <w:pPr>
        <w:spacing w:before="0" w:after="0"/>
      </w:pPr>
    </w:p>
    <w:p>
      <w:r>
        <w:t xml:space="preserve">Povećani ostali nespomenuti rashodi poslovanja od 79,50 % u odnosu na prethodno razdoblje jesu posljedica neplanskih rashoda,  povećanih i novih premija osiguranja kao i održavanja Lokalnih izbora, te nakon njih i Dopunskih izbora za predstavnike nacionalne manjine.</w:t>
      </w:r>
    </w:p>
    <w:p/>
    <w:p>
      <w:pPr>
        <w:jc w:val="center"/>
        <w:pStyle w:val="Normal"/>
        <w:spacing w:line="240" w:lineRule="auto"/>
        <w:keepNext/>
      </w:pPr>
      <w:r>
        <w:rPr>
          <w:sz w:val="28"/>
          <w:rFonts w:ascii="Times New Roman" w:hAnsi="Times New Roman"/>
        </w:rPr>
        <w:t xml:space="preserve">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Naknade za rad predstavničkih i izvršnih tijela, povjerenstava i slično</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4.971,87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31.794,40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639,5</w:t>
            </w:r>
          </w:p>
        </w:tc>
      </w:tr>
    </w:tbl>
    <w:p>
      <w:pPr>
        <w:spacing w:before="0" w:after="0"/>
      </w:pPr>
    </w:p>
    <w:p>
      <w:r>
        <w:t xml:space="preserve">Porast je usko vezan uz naknade za rad biračkih odbora, stručnih timova kao i Općinskog izbornog povjerenstva za vrijeme Lokalnih i Dopunskih izbora koji su održani u 2025. godini.</w:t>
      </w:r>
    </w:p>
    <w:p/>
    <w:p>
      <w:pPr>
        <w:jc w:val="center"/>
        <w:pStyle w:val="Normal"/>
        <w:spacing w:line="240" w:lineRule="auto"/>
        <w:keepNext/>
      </w:pPr>
      <w:r>
        <w:rPr>
          <w:sz w:val="28"/>
          <w:rFonts w:ascii="Times New Roman" w:hAnsi="Times New Roman"/>
        </w:rPr>
        <w:t xml:space="preserve">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Pomoći proračunskim korisnicima drugih proračuna (šifre 3661 do 3663)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366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26.700,00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46.850,16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175,5</w:t>
            </w:r>
          </w:p>
        </w:tc>
      </w:tr>
    </w:tbl>
    <w:p>
      <w:pPr>
        <w:spacing w:before="0" w:after="0"/>
      </w:pPr>
    </w:p>
    <w:p>
      <w:r>
        <w:t xml:space="preserve">Pomoći proračunskim korisnicima drugih proračuna veći su za 75,50 %. Razlog tome jest poskupljenje financiranja smještaja djece s područja općine Majur u Dječji vrtić "Krijesnica", kao i izdaci za financiranje projekta Pokretne knjižnice i sufinanciranje rada asistenta u dječjem vrtiću.</w:t>
      </w:r>
    </w:p>
    <w:p/>
    <w:p>
      <w:pPr>
        <w:jc w:val="center"/>
        <w:pStyle w:val="Normal"/>
        <w:spacing w:line="240" w:lineRule="auto"/>
        <w:keepNext/>
      </w:pPr>
      <w:r>
        <w:rPr>
          <w:sz w:val="28"/>
          <w:rFonts w:ascii="Times New Roman" w:hAnsi="Times New Roman"/>
        </w:rPr>
        <w:t xml:space="preserve">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donacije (šifre 3821 do 3824)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19.951,25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997,6</w:t>
            </w:r>
          </w:p>
        </w:tc>
      </w:tr>
    </w:tbl>
    <w:p>
      <w:pPr>
        <w:spacing w:before="0" w:after="0"/>
      </w:pPr>
    </w:p>
    <w:p>
      <w:r>
        <w:t xml:space="preserve">Veliki porast kapitalnih donacija u odnosu na prethodno razdoblje jest donacija za obnovu crkve Sv. Ivana Glavosjeka u Mračaju, uz ostale kapitalne donacije, kao što je kapitalna donacija udrugama i političkim strankama.</w:t>
      </w:r>
    </w:p>
    <w:p/>
    <w:p>
      <w:pPr>
        <w:jc w:val="center"/>
        <w:pStyle w:val="Normal"/>
        <w:spacing w:line="240" w:lineRule="auto"/>
        <w:keepNext/>
      </w:pPr>
      <w:r>
        <w:rPr>
          <w:sz w:val="28"/>
          <w:rFonts w:ascii="Times New Roman" w:hAnsi="Times New Roman"/>
        </w:rPr>
        <w:t xml:space="preserve">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(šifre 3861 do 3865)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1.327,23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452,1</w:t>
            </w:r>
          </w:p>
        </w:tc>
      </w:tr>
    </w:tbl>
    <w:p>
      <w:pPr>
        <w:spacing w:before="0" w:after="0"/>
      </w:pPr>
    </w:p>
    <w:p>
      <w:r>
        <w:t xml:space="preserve">Pozitivna promjena u smislu isplate kapitalnih pomoći jest povećan obim prijave novoosnovanih obrta/poduzeća na području općine Majur koji mogu ostvariti pravo na pomoć pri otvaranju obrta/tvrtke. Vidljiva je razlika od 352,10 %, odnosno u apsolutnom iznosu od 4.672,77 € što predstavlja nešto više od tri puta veće izdatke za poduzetnike</w:t>
      </w:r>
    </w:p>
    <w:p/>
    <w:p>
      <w:pPr>
        <w:jc w:val="center"/>
        <w:pStyle w:val="Normal"/>
        <w:spacing w:line="240" w:lineRule="auto"/>
        <w:keepNext/>
      </w:pPr>
      <w:r>
        <w:rPr>
          <w:sz w:val="28"/>
          <w:rFonts w:ascii="Times New Roman" w:hAnsi="Times New Roman"/>
        </w:rPr>
        <w:t xml:space="preserve">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399.912,04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969.499,81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242,4</w:t>
            </w:r>
          </w:p>
        </w:tc>
      </w:tr>
    </w:tbl>
    <w:p>
      <w:pPr>
        <w:spacing w:before="0" w:after="0"/>
      </w:pPr>
    </w:p>
    <w:p>
      <w:r>
        <w:t xml:space="preserve">Rashodi za nabavu nefinancijske imovine rasli su za 142,40 %, a odnose se na rekonstrukciju šumskog puta u šumsku cestu "Goljak", uređenje i opremanje sportske građevine, nabavke opreme za dječje igralište, obnovu nerazvrstane ceste G. Hrastovac - S. Meminska, građevinskih radova na društvenim prostorijama u Majuru, uređenje prostora za krizni smještaj i ostalih rashoda.</w:t>
      </w:r>
    </w:p>
    <w:p/>
    <w:p>
      <w:pPr>
        <w:jc w:val="center"/>
        <w:pStyle w:val="Normal"/>
        <w:spacing w:line="240" w:lineRule="auto"/>
        <w:keepNext/>
      </w:pPr>
      <w:r>
        <w:rPr>
          <w:sz w:val="28"/>
          <w:rFonts w:ascii="Times New Roman" w:hAnsi="Times New Roman"/>
        </w:rPr>
        <w:t xml:space="preserve">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4126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Ostala nematerijalna imovina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4126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5.200,00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45.325,00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871,6</w:t>
            </w:r>
          </w:p>
        </w:tc>
      </w:tr>
    </w:tbl>
    <w:p>
      <w:pPr>
        <w:spacing w:before="0" w:after="0"/>
      </w:pPr>
    </w:p>
    <w:p>
      <w:r>
        <w:t xml:space="preserve">Povećanje ostale nematerijalne imovine u odnosu na prethodno razdoblje se tiče izrade izmjena i dopuna prostornog plana Općine Majur, izrade projektne dokumentacije za Studentsko-volonterski centar u Velikom Krčevu, te izrade projektne dokumentacije za Kulturnog centara u Mračaju.</w:t>
      </w:r>
    </w:p>
    <w:p/>
    <w:p>
      <w:pPr>
        <w:jc w:val="center"/>
        <w:pStyle w:val="Normal"/>
        <w:spacing w:line="240" w:lineRule="auto"/>
        <w:keepNext/>
      </w:pPr>
      <w:r>
        <w:rPr>
          <w:sz w:val="28"/>
          <w:rFonts w:ascii="Times New Roman" w:hAnsi="Times New Roman"/>
        </w:rPr>
        <w:t xml:space="preserve">Bilješka 21.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Građevinski objekti (šifre 4211 do 4214)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176.257,16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700.195,04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397,3</w:t>
            </w:r>
          </w:p>
        </w:tc>
      </w:tr>
    </w:tbl>
    <w:p>
      <w:pPr>
        <w:spacing w:before="0" w:after="0"/>
      </w:pPr>
    </w:p>
    <w:p>
      <w:r>
        <w:t xml:space="preserve">Povećanje stavke građevinski objekti od 297,30 %, jest posljedica realizacije planiranih aktivnosti kao što su: izgradnja sekundarnog vodovoda Graboštani, izvanredno održavanje postojećih cesta Gornji Hrastovac, Srednja Meminska - FAZA II, uređenje prostora za sport i rekreaciju i krizni smještaj te rekonstrukcija traktorskog puta u šumsku cestu Goljak i ostalih.</w:t>
      </w:r>
    </w:p>
    <w:p/>
    <w:p>
      <w:pPr>
        <w:jc w:val="center"/>
        <w:pStyle w:val="Normal"/>
        <w:spacing w:line="240" w:lineRule="auto"/>
        <w:keepNext/>
      </w:pPr>
      <w:r>
        <w:rPr>
          <w:sz w:val="28"/>
          <w:rFonts w:ascii="Times New Roman" w:hAnsi="Times New Roman"/>
        </w:rPr>
        <w:t xml:space="preserve">Bilješka 22.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Uređaji, strojevi i oprema za ostale namjene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41.673,56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"Novi sadržaj za djecu u Općini Majur" predstavlja projekt nabave opreme za dječje igralište u krugu sportske građevine kao pokušaj povećanja kvalitete života stanovnika Općine Majur.</w:t>
      </w:r>
    </w:p>
    <w:p/>
    <w:p>
      <w:pPr>
        <w:jc w:val="center"/>
        <w:pStyle w:val="Normal"/>
        <w:spacing w:line="240" w:lineRule="auto"/>
        <w:keepNext/>
      </w:pPr>
      <w:r>
        <w:rPr>
          <w:sz w:val="28"/>
          <w:rFonts w:ascii="Times New Roman" w:hAnsi="Times New Roman"/>
        </w:rPr>
        <w:t xml:space="preserve">Bilješka 23.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Umjetnička, literarna i znanstvena djela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3.763,50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14.925,64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396,6</w:t>
            </w:r>
          </w:p>
        </w:tc>
      </w:tr>
    </w:tbl>
    <w:p>
      <w:pPr>
        <w:spacing w:before="0" w:after="0"/>
      </w:pPr>
    </w:p>
    <w:p>
      <w:r>
        <w:t xml:space="preserve">Razlika u odnosu na prethodno razdoblje od 296,60 % se tiče najvećim dijelom aktivnosti pod nazivom "Kulturno umjetničke aktivnosti".  Kroz ovu aktivnost koja je financiranja od strane Ministarstva demografije i useljeništva nastojalo se kroz različite interakcije s djecom postići efekt povećanja kvalitete života i aktivnosti koje područje pruža.</w:t>
      </w:r>
    </w:p>
    <w:p/>
    <w:p>
      <w:pPr>
        <w:jc w:val="center"/>
        <w:pStyle w:val="Normal"/>
        <w:spacing w:line="240" w:lineRule="auto"/>
        <w:keepNext/>
      </w:pPr>
      <w:r>
        <w:rPr>
          <w:sz w:val="28"/>
          <w:rFonts w:ascii="Times New Roman" w:hAnsi="Times New Roman"/>
        </w:rPr>
        <w:t xml:space="preserve">Bilješka 24.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dodatna ulaganja na nefinancijskoj imovini (šifre 451 do 454)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158.420,54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154.667,96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97,6</w:t>
            </w:r>
          </w:p>
        </w:tc>
      </w:tr>
    </w:tbl>
    <w:p>
      <w:pPr>
        <w:spacing w:before="0" w:after="0"/>
      </w:pPr>
    </w:p>
    <w:p>
      <w:r>
        <w:t xml:space="preserve">Dodatna ulaganja na građevinskim objektima su nešto manja nego u odnosu na prošlo razdoblje. Kroz ovu vrstu rashoda realizirani su nastavci Građevinskih radova na uređenju društvenih prostorija kroz fazu I i II.</w:t>
      </w:r>
    </w:p>
    <w:p/>
    <w:p>
      <w:pPr>
        <w:jc w:val="center"/>
        <w:pStyle w:val="Normal"/>
        <w:spacing w:line="240" w:lineRule="auto"/>
        <w:keepNext/>
      </w:pPr>
      <w:r>
        <w:rPr>
          <w:sz w:val="28"/>
          <w:rFonts w:ascii="Times New Roman" w:hAnsi="Times New Roman"/>
        </w:rPr>
        <w:t xml:space="preserve">Bilješka 25.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94.068,59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26.544,60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28,2</w:t>
            </w:r>
          </w:p>
        </w:tc>
      </w:tr>
    </w:tbl>
    <w:p>
      <w:pPr>
        <w:spacing w:before="0" w:after="0"/>
      </w:pPr>
    </w:p>
    <w:p>
      <w:r>
        <w:t xml:space="preserve">Izdaci za financijsku imovinu i otplate zajmova manji su za 71,80 % zbog toga što je vraćen kratkoročni kredit dok otplata dugoročnog kredita teče po planu otplate.</w:t>
      </w:r>
    </w:p>
    <w:p/>
    <w:p>
      <w:pPr>
        <w:jc w:val="center"/>
        <w:pStyle w:val="Normal"/>
        <w:spacing w:line="240" w:lineRule="auto"/>
        <w:keepNext/>
      </w:pPr>
      <w:r>
        <w:rPr>
          <w:b/>
          <w:sz w:val="28"/>
          <w:rFonts w:ascii="Times New Roman" w:hAnsi="Times New Roman"/>
        </w:rPr>
        <w:t xml:space="preserve">Bilanca</w:t>
      </w:r>
    </w:p>
    <w:p>
      <w:pPr>
        <w:jc w:val="center"/>
        <w:pStyle w:val="Normal"/>
        <w:spacing w:line="240" w:lineRule="auto"/>
        <w:keepNext/>
      </w:pPr>
      <w:r>
        <w:rPr>
          <w:sz w:val="28"/>
          <w:rFonts w:ascii="Times New Roman" w:hAnsi="Times New Roman"/>
        </w:rPr>
        <w:t xml:space="preserve">Bilješka 26.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IMOVINA (šifre B002+1)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B001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4.246.593,60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3.422.319,42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80,6</w:t>
            </w:r>
          </w:p>
        </w:tc>
      </w:tr>
    </w:tbl>
    <w:p>
      <w:pPr>
        <w:spacing w:before="0" w:after="0"/>
      </w:pPr>
    </w:p>
    <w:p>
      <w:r>
        <w:t xml:space="preserve">Imovina je manja za 824.274,18 € kao posljedica ispravka vrijednosti iste sukladno pravilniku o proračunskom računovodstvu i računskom planu</w:t>
      </w:r>
    </w:p>
    <w:p/>
    <w:p>
      <w:pPr>
        <w:jc w:val="center"/>
        <w:pStyle w:val="Normal"/>
        <w:spacing w:line="240" w:lineRule="auto"/>
        <w:keepNext/>
      </w:pPr>
      <w:r>
        <w:rPr>
          <w:sz w:val="28"/>
          <w:rFonts w:ascii="Times New Roman" w:hAnsi="Times New Roman"/>
        </w:rPr>
        <w:t xml:space="preserve">Bilješka 27.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Financijska imovina (šifre 11+12+13+14+15+16+17+19)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1.471.314,21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802.002,20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54,5</w:t>
            </w:r>
          </w:p>
        </w:tc>
      </w:tr>
    </w:tbl>
    <w:p>
      <w:pPr>
        <w:spacing w:before="0" w:after="0"/>
      </w:pPr>
    </w:p>
    <w:p>
      <w:r>
        <w:t xml:space="preserve">Financijska imovina smanjenja za 669.312,01 € što je posljedica najvećim dijelom smanjenja novca u banci i blagajni kao posljedica nastalih rashoda/troška realizacije planiranih aktivnosti.</w:t>
      </w:r>
    </w:p>
    <w:p/>
    <w:p>
      <w:pPr>
        <w:jc w:val="center"/>
        <w:pStyle w:val="Normal"/>
        <w:spacing w:line="240" w:lineRule="auto"/>
        <w:keepNext/>
      </w:pPr>
      <w:r>
        <w:rPr>
          <w:b/>
          <w:sz w:val="28"/>
          <w:rFonts w:ascii="Times New Roman" w:hAnsi="Times New Roman"/>
        </w:rPr>
        <w:t xml:space="preserve">Izvještaj o rashodima prema funkcijskoj klasifikaciji</w:t>
      </w:r>
    </w:p>
    <w:p>
      <w:pPr>
        <w:jc w:val="center"/>
        <w:pStyle w:val="Normal"/>
        <w:spacing w:line="240" w:lineRule="auto"/>
        <w:keepNext/>
      </w:pPr>
      <w:r>
        <w:rPr>
          <w:sz w:val="28"/>
          <w:rFonts w:ascii="Times New Roman" w:hAnsi="Times New Roman"/>
        </w:rPr>
        <w:t xml:space="preserve">Bilješka 28.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Opće javne usluge (šifre 011+012+013+014 do 018)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188.783,52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274.478,41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145,4</w:t>
            </w:r>
          </w:p>
        </w:tc>
      </w:tr>
    </w:tbl>
    <w:p>
      <w:pPr>
        <w:spacing w:before="0" w:after="0"/>
      </w:pPr>
    </w:p>
    <w:p>
      <w:r>
        <w:t xml:space="preserve">Opće javne usluge su realizirane za čak 45,4 % više nego u prošlom razdoblju a tiču se rashoda vezanih usko za održavanje redovnog poslovanja.</w:t>
      </w:r>
    </w:p>
    <w:p/>
    <w:p>
      <w:pPr>
        <w:jc w:val="center"/>
        <w:pStyle w:val="Normal"/>
        <w:spacing w:line="240" w:lineRule="auto"/>
        <w:keepNext/>
      </w:pPr>
      <w:r>
        <w:rPr>
          <w:sz w:val="28"/>
          <w:rFonts w:ascii="Times New Roman" w:hAnsi="Times New Roman"/>
        </w:rPr>
        <w:t xml:space="preserve">Bilješka 29.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016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Opće javne usluge koje nisu drugdje svrstane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016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3.893,82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8.323,62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213,8</w:t>
            </w:r>
          </w:p>
        </w:tc>
      </w:tr>
    </w:tbl>
    <w:p>
      <w:pPr>
        <w:spacing w:before="0" w:after="0"/>
      </w:pPr>
    </w:p>
    <w:p>
      <w:r>
        <w:t xml:space="preserve">Povećanje se odnosi na isplatu štete za nastalo klizište kao i ostale troškove</w:t>
      </w:r>
    </w:p>
    <w:p/>
    <w:p>
      <w:pPr>
        <w:jc w:val="center"/>
        <w:pStyle w:val="Normal"/>
        <w:spacing w:line="240" w:lineRule="auto"/>
        <w:keepNext/>
      </w:pPr>
      <w:r>
        <w:rPr>
          <w:sz w:val="28"/>
          <w:rFonts w:ascii="Times New Roman" w:hAnsi="Times New Roman"/>
        </w:rPr>
        <w:t xml:space="preserve">Bilješka 30.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Ekonomski poslovi (šifre 041+042+043+044+045+046+047+048+049)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537.894,32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922.525,78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171,5</w:t>
            </w:r>
          </w:p>
        </w:tc>
      </w:tr>
    </w:tbl>
    <w:p>
      <w:pPr>
        <w:spacing w:before="0" w:after="0"/>
      </w:pPr>
    </w:p>
    <w:p>
      <w:r>
        <w:t xml:space="preserve">Pod kategorijom ekonomskih poslova nalaze se projekti građevinskih radova na uređenju društvenih prostorija, rekonstrukcija puta "Goljak" itd.,  kao i drugih aktivnosti vezanih uz projekte i redovno poslovanje.</w:t>
      </w:r>
    </w:p>
    <w:p/>
    <w:p>
      <w:pPr>
        <w:jc w:val="center"/>
        <w:pStyle w:val="Normal"/>
        <w:spacing w:line="240" w:lineRule="auto"/>
        <w:keepNext/>
      </w:pPr>
      <w:r>
        <w:rPr>
          <w:sz w:val="28"/>
          <w:rFonts w:ascii="Times New Roman" w:hAnsi="Times New Roman"/>
        </w:rPr>
        <w:t xml:space="preserve">Bilješka 31.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Usluge unapređenja stanovanja i zajednice (šifre 061 do 066)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139.945,10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423.517,29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302,6</w:t>
            </w:r>
          </w:p>
        </w:tc>
      </w:tr>
    </w:tbl>
    <w:p>
      <w:pPr>
        <w:spacing w:before="0" w:after="0"/>
      </w:pPr>
    </w:p>
    <w:p>
      <w:r>
        <w:t xml:space="preserve">Usluge unapređenja stanovanja i zajednice se tiču izgradnje sekundarnog vodovoda Graboštani, projekta "Zaželi", opremanje sportske građevine (teretane) itd. Ova funkcija bilježi porast od 202,60 % u promatranom razdoblju te ukazuje na pokušaj unapređenja stanovanja i kvalitete života za zajednicu</w:t>
      </w:r>
    </w:p>
    <w:p/>
    <w:p>
      <w:pPr>
        <w:jc w:val="center"/>
        <w:pStyle w:val="Normal"/>
        <w:spacing w:line="240" w:lineRule="auto"/>
        <w:keepNext/>
      </w:pPr>
      <w:r>
        <w:rPr>
          <w:sz w:val="28"/>
          <w:rFonts w:ascii="Times New Roman" w:hAnsi="Times New Roman"/>
        </w:rPr>
        <w:t xml:space="preserve">Bilješka 32.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Kontrolni zbroj (šifre 01+02+03+04+05+06+07+08+09+10)</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983.340,21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1.869.420,57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190,1</w:t>
            </w:r>
          </w:p>
        </w:tc>
      </w:tr>
    </w:tbl>
    <w:p>
      <w:pPr>
        <w:spacing w:before="0" w:after="0"/>
      </w:pPr>
    </w:p>
    <w:p>
      <w:r>
        <w:t xml:space="preserve">Kroz različite funkcijske aktivnosti realizirano je aktivnosti u vrijednosti od 1.869.420,57 € što je za 90,01 % više nego u odnosu na prethodno razdoblje, što je pokazatelj realizacije velikog broja projekata/aktivnosti to funkcijskim klasifikacijama.</w:t>
      </w:r>
    </w:p>
    <w:p/>
    <w:p>
      <w:pPr>
        <w:jc w:val="center"/>
        <w:pStyle w:val="Normal"/>
        <w:spacing w:line="240" w:lineRule="auto"/>
        <w:keepNext/>
      </w:pPr>
      <w:r>
        <w:rPr>
          <w:b/>
          <w:sz w:val="28"/>
          <w:rFonts w:ascii="Times New Roman" w:hAnsi="Times New Roman"/>
        </w:rPr>
        <w:t xml:space="preserve">Izvještaj o obvezama</w:t>
      </w:r>
    </w:p>
    <w:p>
      <w:pPr>
        <w:jc w:val="center"/>
        <w:pStyle w:val="Normal"/>
        <w:spacing w:line="240" w:lineRule="auto"/>
        <w:keepNext/>
      </w:pPr>
      <w:r>
        <w:rPr>
          <w:sz w:val="28"/>
          <w:rFonts w:ascii="Times New Roman" w:hAnsi="Times New Roman"/>
        </w:rPr>
        <w:t xml:space="preserve">Bilješka 33.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15.608,03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Stanje dospjelih obveza na kraju izvještajnog razdoblja iznose 15.608,03 € te se odnose na račune čiji je rok dospijeća u idućoj poslovnog godini, a najvećim dijelom se odnose na račune od kraja razdoblja 2025. godine. Također se tiče tzv. KDX-ova, odnosno obveza prema proračunskim korisnicima.</w:t>
      </w:r>
    </w:p>
    <w:p/>
    <w:p>
      <w:pPr>
        <w:jc w:val="center"/>
        <w:pStyle w:val="Normal"/>
        <w:spacing w:line="240" w:lineRule="auto"/>
        <w:keepNext/>
      </w:pPr>
      <w:r>
        <w:rPr>
          <w:sz w:val="28"/>
          <w:rFonts w:ascii="Times New Roman" w:hAnsi="Times New Roman"/>
        </w:rPr>
        <w:t xml:space="preserve">Bilješka 34.</w:t>
      </w:r>
    </w:p>
    <w:p>
      <w:pPr>
        <w:jc w:val="both"/>
        <w:pStyle w:val="Normal"/>
        <w:spacing w:line="240" w:lineRule="auto"/>
      </w:pPr>
      <w:r>
        <w:rPr>
          <w:b/>
          <w:sz w:val="24"/>
          <w:rFonts w:ascii="Times New Roman" w:hAnsi="Times New Roman"/>
        </w:rPr>
        <w:t xml:space="preserve">Unutargrupne transakcije koje su u izvještajima eliminirane</w:t>
      </w:r>
    </w:p>
    <w:p>
      <w:r>
        <w:t xml:space="preserve">Odnose se na prijenose sredstava za rad Narodne knjižnice i čitaonice Majur, konkretno za obavljanje redovne djelatnosti te nabave nefinancijske imovine (najvećim dijelom knjiga).</w:t>
      </w:r>
    </w:p>
    <w:p/>
    <w:p>
      <w:pPr>
        <w:jc w:val="center"/>
        <w:pStyle w:val="Normal"/>
        <w:spacing w:line="240" w:lineRule="auto"/>
        <w:keepNext/>
      </w:pPr>
      <w:r>
        <w:rPr>
          <w:sz w:val="28"/>
          <w:rFonts w:ascii="Times New Roman" w:hAnsi="Times New Roman"/>
        </w:rPr>
        <w:t xml:space="preserve">Bilješka 35.</w:t>
      </w:r>
    </w:p>
    <w:p>
      <w:pPr>
        <w:jc w:val="both"/>
        <w:pStyle w:val="Normal"/>
        <w:spacing w:line="240" w:lineRule="auto"/>
      </w:pPr>
      <w:r>
        <w:rPr>
          <w:b/>
          <w:sz w:val="24"/>
          <w:rFonts w:ascii="Times New Roman" w:hAnsi="Times New Roman"/>
        </w:rPr>
        <w:t xml:space="preserve">Manjak ili višak u poslovanju grupe i pregled strukture manjka/viška po proračunskim korisnicima </w:t>
      </w:r>
    </w:p>
    <w:p>
      <w:r>
        <w:t xml:space="preserve">Rezultat poslovanja je manjak u poslovanju u iznosu od 894.494,93 eura, a temelji na većoj realizaciji planiranih projekata koji se financiraju iz više izvora, između ostalog i iz viška iz 2024. godine.</w:t>
      </w:r>
    </w:p>
    <w:p/>
  </w:body>
</w:document>
</file>

<file path=word/styles.xml><?xml version="1.0" encoding="utf-8"?>
<w:styles xmlns:w="http://schemas.openxmlformats.org/wordprocessingml/2006/main">
  <w:docDefaults>
    <w:rPrDefault>
      <w:rPr>
        <w:rFonts w:ascii="Times New Roman" w:hAnsi="Times New Roman"/>
        <w:sz w:val="24"/>
      </w:rPr>
    </w:rPrDefault>
  </w:docDefaults>
  <w:style w:type="paragraph" w:styleId="Normal" w:default="true">
    <w:name w:val="Normal"/>
    <w:rPr>
      <w:rFonts w:ascii="Times New Roman" w:hAnsi="Times New Roman"/>
      <w:sz w:val="24"/>
    </w:rPr>
  </w:style>
</w:styles>
</file>

<file path=word/_rels/document.xml.rels>&#65279;<?xml version="1.0" encoding="utf-8"?><Relationships xmlns="http://schemas.openxmlformats.org/package/2006/relationships"><Relationship Type="http://schemas.openxmlformats.org/officeDocument/2006/relationships/styles" Target="/word/styles.xml" Id="R127731df1a7d488a" /></Relationships>
</file>